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B551D" w14:textId="53CB6800" w:rsidR="003768A5" w:rsidRPr="00F93C62" w:rsidRDefault="00725F4F" w:rsidP="00F93C62">
      <w:pPr>
        <w:pStyle w:val="ConsPlusNormal"/>
        <w:spacing w:before="520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Инструкция </w:t>
      </w:r>
      <w:r w:rsidR="00F93C62" w:rsidRPr="00F93C62">
        <w:rPr>
          <w:b/>
          <w:sz w:val="28"/>
          <w:szCs w:val="28"/>
        </w:rPr>
        <w:t>по</w:t>
      </w:r>
      <w:r w:rsidR="003768A5" w:rsidRPr="00F93C62">
        <w:rPr>
          <w:b/>
          <w:sz w:val="28"/>
          <w:szCs w:val="28"/>
        </w:rPr>
        <w:t xml:space="preserve"> подготов</w:t>
      </w:r>
      <w:r w:rsidR="00F93C62" w:rsidRPr="00F93C62">
        <w:rPr>
          <w:b/>
          <w:sz w:val="28"/>
          <w:szCs w:val="28"/>
        </w:rPr>
        <w:t>ке</w:t>
      </w:r>
      <w:r w:rsidR="003768A5" w:rsidRPr="00F93C62">
        <w:rPr>
          <w:b/>
          <w:sz w:val="28"/>
          <w:szCs w:val="28"/>
        </w:rPr>
        <w:t xml:space="preserve"> и прове</w:t>
      </w:r>
      <w:r w:rsidR="00F93C62" w:rsidRPr="00F93C62">
        <w:rPr>
          <w:b/>
          <w:sz w:val="28"/>
          <w:szCs w:val="28"/>
        </w:rPr>
        <w:t>дению</w:t>
      </w:r>
      <w:r w:rsidR="003768A5" w:rsidRPr="00F93C62">
        <w:rPr>
          <w:b/>
          <w:sz w:val="28"/>
          <w:szCs w:val="28"/>
        </w:rPr>
        <w:t xml:space="preserve"> годово</w:t>
      </w:r>
      <w:r w:rsidR="00F93C62">
        <w:rPr>
          <w:b/>
          <w:sz w:val="28"/>
          <w:szCs w:val="28"/>
        </w:rPr>
        <w:t>го</w:t>
      </w:r>
      <w:r w:rsidR="003768A5" w:rsidRPr="00F93C62">
        <w:rPr>
          <w:b/>
          <w:sz w:val="28"/>
          <w:szCs w:val="28"/>
        </w:rPr>
        <w:t xml:space="preserve"> заседани</w:t>
      </w:r>
      <w:r w:rsidR="00F93C62">
        <w:rPr>
          <w:b/>
          <w:sz w:val="28"/>
          <w:szCs w:val="28"/>
        </w:rPr>
        <w:t>я</w:t>
      </w:r>
      <w:r w:rsidR="003768A5" w:rsidRPr="00F93C62">
        <w:rPr>
          <w:b/>
          <w:sz w:val="28"/>
          <w:szCs w:val="28"/>
        </w:rPr>
        <w:t xml:space="preserve"> общего собрания акционеров</w:t>
      </w:r>
    </w:p>
    <w:p w14:paraId="4B8D0237" w14:textId="77777777" w:rsidR="003768A5" w:rsidRDefault="003768A5" w:rsidP="00F93C62">
      <w:pPr>
        <w:pStyle w:val="ConsPlusNormal"/>
        <w:ind w:firstLine="709"/>
        <w:jc w:val="both"/>
      </w:pPr>
    </w:p>
    <w:p w14:paraId="77EB0E69" w14:textId="52966814" w:rsidR="00F93C62" w:rsidRPr="00F93C62" w:rsidRDefault="00F93C62" w:rsidP="00F93C62">
      <w:pPr>
        <w:pStyle w:val="ConsPlusNormal"/>
        <w:ind w:firstLine="709"/>
        <w:jc w:val="both"/>
      </w:pPr>
      <w:r w:rsidRPr="00F93C62">
        <w:t>Годовое заседание общего собрания акционеров проводит</w:t>
      </w:r>
      <w:r w:rsidR="00E9031A">
        <w:t>ся</w:t>
      </w:r>
      <w:r w:rsidRPr="00F93C62">
        <w:t xml:space="preserve"> ежегодно </w:t>
      </w:r>
      <w:proofErr w:type="gramStart"/>
      <w:r w:rsidRPr="00F93C62">
        <w:t>в  период</w:t>
      </w:r>
      <w:proofErr w:type="gramEnd"/>
      <w:r w:rsidRPr="00F93C62">
        <w:t xml:space="preserve"> с 1 марта по 30 июня года, следующего за отчетным.</w:t>
      </w:r>
    </w:p>
    <w:p w14:paraId="2D34398B" w14:textId="77777777" w:rsidR="00F65DE2" w:rsidRDefault="00F93C62" w:rsidP="00F93C62">
      <w:pPr>
        <w:pStyle w:val="ConsPlusNormal"/>
        <w:ind w:firstLine="709"/>
        <w:jc w:val="both"/>
      </w:pPr>
      <w:r>
        <w:t>Для</w:t>
      </w:r>
      <w:r w:rsidRPr="00F93C62">
        <w:t xml:space="preserve"> подготовк</w:t>
      </w:r>
      <w:r>
        <w:t>и</w:t>
      </w:r>
      <w:r w:rsidRPr="00F93C62">
        <w:t xml:space="preserve"> к заседанию </w:t>
      </w:r>
      <w:r>
        <w:t>необходимо</w:t>
      </w:r>
      <w:r w:rsidR="00F65DE2">
        <w:t>:</w:t>
      </w:r>
    </w:p>
    <w:p w14:paraId="18A192CB" w14:textId="33A8F674" w:rsidR="00F65DE2" w:rsidRDefault="00F65DE2" w:rsidP="00F93C62">
      <w:pPr>
        <w:pStyle w:val="ConsPlusNormal"/>
        <w:ind w:firstLine="709"/>
        <w:jc w:val="both"/>
      </w:pPr>
      <w:r>
        <w:t>- согласовать с регистратором дату проведения годового заседания;</w:t>
      </w:r>
    </w:p>
    <w:p w14:paraId="192AF40B" w14:textId="62A93266" w:rsidR="00F65DE2" w:rsidRDefault="00F65DE2" w:rsidP="00F93C62">
      <w:pPr>
        <w:pStyle w:val="ConsPlusNormal"/>
        <w:ind w:firstLine="709"/>
        <w:jc w:val="both"/>
      </w:pPr>
      <w:r>
        <w:t xml:space="preserve">- </w:t>
      </w:r>
      <w:r w:rsidR="00F93C62">
        <w:t>получить</w:t>
      </w:r>
      <w:r>
        <w:t xml:space="preserve"> </w:t>
      </w:r>
      <w:r w:rsidRPr="00F65DE2">
        <w:t>у регистратора</w:t>
      </w:r>
      <w:r w:rsidR="00F93C62" w:rsidRPr="00F93C62">
        <w:t xml:space="preserve"> </w:t>
      </w:r>
      <w:r>
        <w:t>С</w:t>
      </w:r>
      <w:r w:rsidR="00F93C62" w:rsidRPr="00F93C62">
        <w:t>писок лиц, имеющих право голоса при принятии решений на таком заседании</w:t>
      </w:r>
      <w:r>
        <w:t>;</w:t>
      </w:r>
    </w:p>
    <w:p w14:paraId="0F94D486" w14:textId="2DE26E2B" w:rsidR="00F93C62" w:rsidRPr="00F93C62" w:rsidRDefault="00F65DE2" w:rsidP="00F93C62">
      <w:pPr>
        <w:pStyle w:val="ConsPlusNormal"/>
        <w:ind w:firstLine="709"/>
        <w:jc w:val="both"/>
      </w:pPr>
      <w:r>
        <w:t xml:space="preserve">- </w:t>
      </w:r>
      <w:r w:rsidR="00F93C62" w:rsidRPr="00F93C62">
        <w:t>уведом</w:t>
      </w:r>
      <w:r w:rsidR="00F93C62">
        <w:t>и</w:t>
      </w:r>
      <w:r w:rsidR="00F93C62" w:rsidRPr="00F93C62">
        <w:t>т</w:t>
      </w:r>
      <w:r w:rsidR="00F93C62">
        <w:t>ь</w:t>
      </w:r>
      <w:r w:rsidR="00F93C62" w:rsidRPr="00F93C62">
        <w:t xml:space="preserve"> акционеров</w:t>
      </w:r>
      <w:r>
        <w:t xml:space="preserve"> о предстоящем заседании</w:t>
      </w:r>
      <w:r w:rsidR="00F93C62" w:rsidRPr="00F93C62">
        <w:t xml:space="preserve"> и предостав</w:t>
      </w:r>
      <w:r w:rsidR="00F93C62">
        <w:t>и</w:t>
      </w:r>
      <w:r w:rsidR="00F93C62" w:rsidRPr="00F93C62">
        <w:t>т</w:t>
      </w:r>
      <w:r w:rsidR="00F93C62">
        <w:t>ь</w:t>
      </w:r>
      <w:r w:rsidR="00F93C62" w:rsidRPr="00F93C62">
        <w:t xml:space="preserve"> им необходимую информацию (материалы).</w:t>
      </w:r>
    </w:p>
    <w:p w14:paraId="1C5A6896" w14:textId="7B00A310" w:rsidR="00F93C62" w:rsidRPr="00F93C62" w:rsidRDefault="00B84F6B" w:rsidP="00F93C62">
      <w:pPr>
        <w:pStyle w:val="ConsPlusNormal"/>
        <w:ind w:firstLine="709"/>
        <w:jc w:val="both"/>
      </w:pPr>
      <w:r>
        <w:t xml:space="preserve">После заседания необходимо </w:t>
      </w:r>
      <w:r w:rsidR="00F65DE2">
        <w:t>довести до акционеров и</w:t>
      </w:r>
      <w:r w:rsidR="00F93C62" w:rsidRPr="00F93C62">
        <w:t xml:space="preserve">тоги голосования в форме отчета. </w:t>
      </w:r>
    </w:p>
    <w:p w14:paraId="4E0A7EF6" w14:textId="337AC923" w:rsidR="003768A5" w:rsidRDefault="00F93C62" w:rsidP="00F93C62">
      <w:pPr>
        <w:pStyle w:val="ConsPlusNormal"/>
        <w:ind w:firstLine="709"/>
        <w:jc w:val="both"/>
      </w:pPr>
      <w:r w:rsidRPr="00F93C62">
        <w:t>ПАО и отдельные непубличные АО в связи с подготовкой и проведением заседаний общих собраний акционеров обязаны раскры</w:t>
      </w:r>
      <w:r w:rsidR="00804622">
        <w:t>ть</w:t>
      </w:r>
      <w:r w:rsidRPr="00F93C62">
        <w:t xml:space="preserve"> информацию в установленном порядке.</w:t>
      </w:r>
    </w:p>
    <w:p w14:paraId="5CB05486" w14:textId="3446F51D" w:rsidR="003768A5" w:rsidRDefault="003768A5" w:rsidP="00F93C62">
      <w:pPr>
        <w:pStyle w:val="ConsPlusNormal"/>
        <w:ind w:firstLine="709"/>
      </w:pPr>
    </w:p>
    <w:p w14:paraId="3E15C355" w14:textId="77777777" w:rsidR="005E6B8E" w:rsidRPr="005E6B8E" w:rsidRDefault="00F93C62" w:rsidP="005E6B8E">
      <w:pPr>
        <w:pStyle w:val="ConsPlusNormal"/>
        <w:numPr>
          <w:ilvl w:val="0"/>
          <w:numId w:val="22"/>
        </w:numPr>
        <w:ind w:left="0" w:firstLine="709"/>
        <w:jc w:val="both"/>
        <w:outlineLvl w:val="0"/>
      </w:pPr>
      <w:bookmarkStart w:id="0" w:name="P22"/>
      <w:bookmarkStart w:id="1" w:name="P26"/>
      <w:bookmarkStart w:id="2" w:name="P29"/>
      <w:bookmarkEnd w:id="0"/>
      <w:bookmarkEnd w:id="1"/>
      <w:bookmarkEnd w:id="2"/>
      <w:r w:rsidRPr="005E6B8E">
        <w:rPr>
          <w:b/>
        </w:rPr>
        <w:t>П</w:t>
      </w:r>
      <w:r w:rsidR="003768A5" w:rsidRPr="005E6B8E">
        <w:rPr>
          <w:b/>
        </w:rPr>
        <w:t>ринят</w:t>
      </w:r>
      <w:r w:rsidRPr="005E6B8E">
        <w:rPr>
          <w:b/>
        </w:rPr>
        <w:t>ие</w:t>
      </w:r>
      <w:r w:rsidR="003768A5" w:rsidRPr="005E6B8E">
        <w:rPr>
          <w:b/>
        </w:rPr>
        <w:t xml:space="preserve"> решени</w:t>
      </w:r>
      <w:r w:rsidRPr="005E6B8E">
        <w:rPr>
          <w:b/>
        </w:rPr>
        <w:t>я</w:t>
      </w:r>
      <w:r w:rsidR="003768A5" w:rsidRPr="005E6B8E">
        <w:rPr>
          <w:b/>
        </w:rPr>
        <w:t xml:space="preserve"> о проведении годового заседания общего собрания акционеров</w:t>
      </w:r>
      <w:r w:rsidR="005E6B8E">
        <w:rPr>
          <w:b/>
        </w:rPr>
        <w:t>.</w:t>
      </w:r>
    </w:p>
    <w:p w14:paraId="214A6E6D" w14:textId="06DEAF33" w:rsidR="003768A5" w:rsidRDefault="00F65DE2" w:rsidP="00D91829">
      <w:pPr>
        <w:pStyle w:val="ConsPlusNormal"/>
        <w:ind w:firstLine="709"/>
        <w:jc w:val="both"/>
        <w:outlineLvl w:val="0"/>
      </w:pPr>
      <w:r w:rsidRPr="005E6B8E">
        <w:rPr>
          <w:bCs/>
        </w:rPr>
        <w:t xml:space="preserve">Решение о проведении заседания </w:t>
      </w:r>
      <w:r w:rsidR="003768A5" w:rsidRPr="005E6B8E">
        <w:rPr>
          <w:bCs/>
        </w:rPr>
        <w:t>принимает</w:t>
      </w:r>
      <w:r w:rsidR="003768A5">
        <w:t xml:space="preserve"> совет директоров</w:t>
      </w:r>
      <w:r w:rsidR="00804622">
        <w:t xml:space="preserve"> (наблюдательный совет)</w:t>
      </w:r>
      <w:r w:rsidR="003768A5">
        <w:t>. Если его функции выполняет общее собрание, принять решение о проведении заседания и определить его повестку должны лицо или орган, указанные в уставе (</w:t>
      </w:r>
      <w:hyperlink r:id="rId5">
        <w:r w:rsidR="003768A5" w:rsidRPr="005E6B8E">
          <w:rPr>
            <w:color w:val="0000FF"/>
          </w:rPr>
          <w:t>п. 1 ст. 64</w:t>
        </w:r>
      </w:hyperlink>
      <w:r w:rsidR="003768A5">
        <w:t xml:space="preserve">, </w:t>
      </w:r>
      <w:hyperlink r:id="rId6">
        <w:proofErr w:type="spellStart"/>
        <w:r w:rsidR="003768A5" w:rsidRPr="005E6B8E">
          <w:rPr>
            <w:color w:val="0000FF"/>
          </w:rPr>
          <w:t>пп</w:t>
        </w:r>
        <w:proofErr w:type="spellEnd"/>
        <w:r w:rsidR="003768A5" w:rsidRPr="005E6B8E">
          <w:rPr>
            <w:color w:val="0000FF"/>
          </w:rPr>
          <w:t>. 2 п. 1 ст. 65</w:t>
        </w:r>
      </w:hyperlink>
      <w:r w:rsidR="003768A5">
        <w:t xml:space="preserve"> Закона об АО).</w:t>
      </w:r>
    </w:p>
    <w:p w14:paraId="2944F391" w14:textId="77777777" w:rsidR="00F65DE2" w:rsidRDefault="00F65DE2" w:rsidP="00D91829">
      <w:pPr>
        <w:pStyle w:val="ConsPlusNormal"/>
        <w:spacing w:before="240"/>
        <w:ind w:firstLine="709"/>
        <w:jc w:val="both"/>
      </w:pPr>
      <w:r>
        <w:t>При подготовке к проведению заседания или заочного голосования совет директоров (наблюдательный совет) общества определяет:</w:t>
      </w:r>
    </w:p>
    <w:p w14:paraId="5540D020" w14:textId="77777777" w:rsidR="00F65DE2" w:rsidRDefault="00F65DE2" w:rsidP="00D91829">
      <w:pPr>
        <w:pStyle w:val="ConsPlusNormal"/>
        <w:spacing w:before="120"/>
        <w:ind w:firstLine="709"/>
        <w:jc w:val="both"/>
      </w:pPr>
      <w:r>
        <w:t>1) способ принятия решений общим собранием акционеров (заседание или заочное голосование);</w:t>
      </w:r>
    </w:p>
    <w:p w14:paraId="327D3C49" w14:textId="77777777" w:rsidR="00F65DE2" w:rsidRDefault="00F65DE2" w:rsidP="00D91829">
      <w:pPr>
        <w:pStyle w:val="ConsPlusNormal"/>
        <w:spacing w:before="120"/>
        <w:ind w:firstLine="709"/>
        <w:jc w:val="both"/>
      </w:pPr>
      <w:r>
        <w:t>2) возможность дистанционного участия в заседании, порядок доступа к дистанционному участию в заседании, в том числе способы достоверного установления лиц, принимающих дистанционное участие в заседании, возможность присутствия в месте проведения заседания или проведение заседания без определения места его проведения;</w:t>
      </w:r>
    </w:p>
    <w:p w14:paraId="097E7C23" w14:textId="77777777" w:rsidR="00F65DE2" w:rsidRDefault="00F65DE2" w:rsidP="00D91829">
      <w:pPr>
        <w:pStyle w:val="ConsPlusNormal"/>
        <w:spacing w:before="120"/>
        <w:ind w:firstLine="709"/>
        <w:jc w:val="both"/>
      </w:pPr>
      <w:r>
        <w:t>3) дату и время проведения заседания, а если голосование на заседании совмещается с заочным голосованием, также дату окончания приема бюллетеней для голосования при заочном голосовании, место проведения заседания (за исключением заседания с дистанционным участием, которое проводится без определения места его проведения) либо в случае заочного голосования дату окончания приема бюллетеней для голосования при заочном голосовании;</w:t>
      </w:r>
    </w:p>
    <w:p w14:paraId="546D065B" w14:textId="77777777" w:rsidR="00F65DE2" w:rsidRDefault="00F65DE2" w:rsidP="00D91829">
      <w:pPr>
        <w:pStyle w:val="ConsPlusNormal"/>
        <w:spacing w:before="120"/>
        <w:ind w:firstLine="709"/>
        <w:jc w:val="both"/>
      </w:pPr>
      <w:r>
        <w:t>4) дату, на которую определяются (фиксируются) лица, имеющие право голоса при принятии решений общим собранием акционеров;</w:t>
      </w:r>
    </w:p>
    <w:p w14:paraId="7599C160" w14:textId="77777777" w:rsidR="00F65DE2" w:rsidRDefault="00F65DE2" w:rsidP="00D91829">
      <w:pPr>
        <w:pStyle w:val="ConsPlusNormal"/>
        <w:spacing w:before="120"/>
        <w:ind w:firstLine="709"/>
        <w:jc w:val="both"/>
      </w:pPr>
      <w:r>
        <w:t>5) дату окончания приема предложений акционеров о выдвижении кандидатов для избрания в совет директоров (наблюдательный совет) общества, если повестка дня внеочередного заседания общего собрания акционеров содержит вопрос об избрании членов совета директоров (наблюдательного совета) общества;</w:t>
      </w:r>
    </w:p>
    <w:p w14:paraId="0F84911A" w14:textId="18BB8307" w:rsidR="005E6B8E" w:rsidRPr="005E6B8E" w:rsidRDefault="00F65DE2" w:rsidP="00D91829">
      <w:pPr>
        <w:pStyle w:val="ConsPlusNormal"/>
        <w:spacing w:before="120"/>
        <w:ind w:firstLine="709"/>
        <w:jc w:val="both"/>
      </w:pPr>
      <w:r>
        <w:t>6) повестку дня</w:t>
      </w:r>
      <w:r w:rsidR="005E6B8E">
        <w:t xml:space="preserve"> годового заседания общего собрания акционеров.  </w:t>
      </w:r>
      <w:r w:rsidR="005E6B8E" w:rsidRPr="005E6B8E">
        <w:t>Повестку дня</w:t>
      </w:r>
      <w:r w:rsidR="005E6B8E" w:rsidRPr="005E6B8E">
        <w:rPr>
          <w:b/>
          <w:bCs/>
        </w:rPr>
        <w:t xml:space="preserve"> </w:t>
      </w:r>
      <w:r w:rsidR="005E6B8E" w:rsidRPr="005E6B8E">
        <w:t>обязательно должна включать следующие вопросы (</w:t>
      </w:r>
      <w:hyperlink r:id="rId7">
        <w:r w:rsidR="005E6B8E" w:rsidRPr="005E6B8E">
          <w:rPr>
            <w:rStyle w:val="ac"/>
          </w:rPr>
          <w:t>п. п. 2</w:t>
        </w:r>
      </w:hyperlink>
      <w:r w:rsidR="005E6B8E" w:rsidRPr="005E6B8E">
        <w:t xml:space="preserve">, </w:t>
      </w:r>
      <w:hyperlink r:id="rId8">
        <w:r w:rsidR="005E6B8E" w:rsidRPr="005E6B8E">
          <w:rPr>
            <w:rStyle w:val="ac"/>
          </w:rPr>
          <w:t>3 ст. 54</w:t>
        </w:r>
      </w:hyperlink>
      <w:r w:rsidR="005E6B8E" w:rsidRPr="005E6B8E">
        <w:t xml:space="preserve"> Закона об АО):</w:t>
      </w:r>
    </w:p>
    <w:p w14:paraId="6BBF3F1A" w14:textId="77777777" w:rsidR="005E6B8E" w:rsidRPr="005E6B8E" w:rsidRDefault="005E6B8E" w:rsidP="00D91829">
      <w:pPr>
        <w:pStyle w:val="ConsPlusNormal"/>
        <w:spacing w:before="120"/>
        <w:ind w:firstLine="709"/>
      </w:pPr>
      <w:r w:rsidRPr="005E6B8E">
        <w:t>- избрание совета директоров.</w:t>
      </w:r>
    </w:p>
    <w:p w14:paraId="22E4AC2D" w14:textId="77777777" w:rsidR="005E6B8E" w:rsidRPr="005E6B8E" w:rsidRDefault="005E6B8E" w:rsidP="00D91829">
      <w:pPr>
        <w:pStyle w:val="ConsPlusNormal"/>
        <w:spacing w:before="120"/>
        <w:ind w:firstLine="709"/>
      </w:pPr>
      <w:r w:rsidRPr="005E6B8E">
        <w:t>- избрание ревизионной комиссии (если по уставу она обязательна);</w:t>
      </w:r>
    </w:p>
    <w:p w14:paraId="39AE0B32" w14:textId="77777777" w:rsidR="005E6B8E" w:rsidRPr="005E6B8E" w:rsidRDefault="005E6B8E" w:rsidP="00D91829">
      <w:pPr>
        <w:pStyle w:val="ConsPlusNormal"/>
        <w:spacing w:before="120"/>
        <w:ind w:firstLine="709"/>
      </w:pPr>
      <w:r w:rsidRPr="005E6B8E">
        <w:t xml:space="preserve">- назначение аудиторской организации, если есть </w:t>
      </w:r>
      <w:hyperlink r:id="rId9">
        <w:r w:rsidRPr="005E6B8E">
          <w:rPr>
            <w:rStyle w:val="ac"/>
          </w:rPr>
          <w:t>обязанность</w:t>
        </w:r>
      </w:hyperlink>
      <w:r w:rsidRPr="005E6B8E">
        <w:t xml:space="preserve"> по аудиту годовой бухгалтерской (финансовой) отчетности, либо аудиторской организации или индивидуального </w:t>
      </w:r>
      <w:r w:rsidRPr="005E6B8E">
        <w:lastRenderedPageBreak/>
        <w:t>аудитора, если в непубличном акционерном обществе принято решение о его проведении;</w:t>
      </w:r>
    </w:p>
    <w:p w14:paraId="64F056A0" w14:textId="77777777" w:rsidR="005E6B8E" w:rsidRPr="005E6B8E" w:rsidRDefault="005E6B8E" w:rsidP="00D91829">
      <w:pPr>
        <w:pStyle w:val="ConsPlusNormal"/>
        <w:spacing w:before="120"/>
        <w:ind w:firstLine="709"/>
      </w:pPr>
      <w:r w:rsidRPr="005E6B8E">
        <w:t>- утверждение годового отчета и годовой бухгалтерской (финансовой) отчетности (если их утверждает не совет директоров);</w:t>
      </w:r>
    </w:p>
    <w:p w14:paraId="733833AE" w14:textId="77777777" w:rsidR="005E6B8E" w:rsidRDefault="005E6B8E" w:rsidP="00D91829">
      <w:pPr>
        <w:pStyle w:val="ConsPlusNormal"/>
        <w:spacing w:before="120"/>
        <w:ind w:firstLine="709"/>
      </w:pPr>
      <w:r w:rsidRPr="005E6B8E">
        <w:t>- распределение прибыли (в том числе выплата (объявление) дивидендов) и убытков общества по результатам отчетного года;</w:t>
      </w:r>
    </w:p>
    <w:p w14:paraId="769DB3DB" w14:textId="262D3311" w:rsidR="005E6B8E" w:rsidRPr="005E6B8E" w:rsidRDefault="005E6B8E" w:rsidP="00D91829">
      <w:pPr>
        <w:pStyle w:val="ConsPlusNormal"/>
        <w:spacing w:before="120"/>
        <w:ind w:firstLine="709"/>
      </w:pPr>
      <w:r>
        <w:t>- к</w:t>
      </w:r>
      <w:r w:rsidRPr="005E6B8E">
        <w:t>роме обязательных вопросов на заседании собрания можно рассмотреть и другие, которые включаются в повестку на основании решения совета директоров или предложений акционеров</w:t>
      </w:r>
      <w:r>
        <w:t>.</w:t>
      </w:r>
    </w:p>
    <w:p w14:paraId="58C5A0CF" w14:textId="77777777" w:rsidR="00F65DE2" w:rsidRDefault="00F65DE2" w:rsidP="00D91829">
      <w:pPr>
        <w:pStyle w:val="ConsPlusNormal"/>
        <w:spacing w:before="120"/>
        <w:ind w:firstLine="709"/>
        <w:jc w:val="both"/>
      </w:pPr>
      <w:r>
        <w:t>7) порядок сообщения акционерам о проведении заседания или заочного голосования;</w:t>
      </w:r>
    </w:p>
    <w:p w14:paraId="30B6FEAA" w14:textId="77777777" w:rsidR="00F65DE2" w:rsidRDefault="00F65DE2" w:rsidP="00D91829">
      <w:pPr>
        <w:pStyle w:val="ConsPlusNormal"/>
        <w:spacing w:before="120"/>
        <w:ind w:firstLine="709"/>
        <w:jc w:val="both"/>
      </w:pPr>
      <w:r>
        <w:t>8) перечень информации (материалов), предоставляемой акционерам при подготовке к проведению заседания или заочного голосования, и порядок ее предоставления;</w:t>
      </w:r>
    </w:p>
    <w:p w14:paraId="775494F3" w14:textId="77777777" w:rsidR="00F65DE2" w:rsidRDefault="00F65DE2" w:rsidP="00D91829">
      <w:pPr>
        <w:pStyle w:val="ConsPlusNormal"/>
        <w:spacing w:before="120"/>
        <w:ind w:firstLine="709"/>
        <w:jc w:val="both"/>
      </w:pPr>
      <w:r>
        <w:t>9) форму и текст бюл</w:t>
      </w:r>
      <w:bookmarkStart w:id="3" w:name="_GoBack"/>
      <w:bookmarkEnd w:id="3"/>
      <w:r>
        <w:t>летеня для голосования в случае, если голосование осуществляется бюллетенями для голосования, а также формулировки решений по вопросам повестки дня, которые должны направляться в электронной форме номинальным держателям акций, зарегистрированным в реестре акционеров общества;</w:t>
      </w:r>
    </w:p>
    <w:p w14:paraId="02E31C47" w14:textId="77777777" w:rsidR="00F65DE2" w:rsidRDefault="00F65DE2" w:rsidP="00D91829">
      <w:pPr>
        <w:pStyle w:val="ConsPlusNormal"/>
        <w:spacing w:before="120"/>
        <w:ind w:firstLine="709"/>
        <w:jc w:val="both"/>
      </w:pPr>
      <w:r>
        <w:t>10) адрес (почтовый адрес и, если это предусмотрено уставом общества, адрес электронной почты), по которому могут направляться заполненные бюллетени для голосования, и способы их подписания в соответствии со статьей 60 настоящего Федерального закона, если голосование осуществляется бюллетенями для голосования, а также возможность заполнения и направления бюллетеней для голосования в электронной форме с использованием других электронных либо иных технических средств.</w:t>
      </w:r>
    </w:p>
    <w:p w14:paraId="21B85720" w14:textId="7AB6430D" w:rsidR="003768A5" w:rsidRDefault="005E6B8E" w:rsidP="00F93C62">
      <w:pPr>
        <w:pStyle w:val="ConsPlusNormal"/>
        <w:spacing w:before="240"/>
        <w:ind w:firstLine="709"/>
        <w:jc w:val="both"/>
      </w:pPr>
      <w:bookmarkStart w:id="4" w:name="P51"/>
      <w:bookmarkStart w:id="5" w:name="P66"/>
      <w:bookmarkStart w:id="6" w:name="P95"/>
      <w:bookmarkEnd w:id="4"/>
      <w:bookmarkEnd w:id="5"/>
      <w:bookmarkEnd w:id="6"/>
      <w:r>
        <w:rPr>
          <w:b/>
        </w:rPr>
        <w:t xml:space="preserve">2. </w:t>
      </w:r>
      <w:r w:rsidR="003768A5">
        <w:rPr>
          <w:b/>
        </w:rPr>
        <w:t>Список лиц, имеющих право голоса при принятии решений общим собранием акционеров, составляется на дату</w:t>
      </w:r>
      <w:r w:rsidR="003768A5">
        <w:t>, указанную в решении о проведении заседания собрания. Это должна быть дата не ранее чем через 10 дней с даты принятия решения о проведении заседания собрания и не более чем за 25 дней до его проведения (если в повестку дня включен, в частности, вопрос о реорганизации - не более чем за 35 дней) (</w:t>
      </w:r>
      <w:hyperlink r:id="rId10">
        <w:r w:rsidR="003768A5">
          <w:rPr>
            <w:color w:val="0000FF"/>
          </w:rPr>
          <w:t>п. 1 ст. 51</w:t>
        </w:r>
      </w:hyperlink>
      <w:r w:rsidR="003768A5">
        <w:t xml:space="preserve">, </w:t>
      </w:r>
      <w:hyperlink r:id="rId11">
        <w:r w:rsidR="003768A5">
          <w:rPr>
            <w:color w:val="0000FF"/>
          </w:rPr>
          <w:t>п. 1 ст. 54</w:t>
        </w:r>
      </w:hyperlink>
      <w:r w:rsidR="003768A5">
        <w:t xml:space="preserve"> Закона об АО).</w:t>
      </w:r>
    </w:p>
    <w:p w14:paraId="2E59F54B" w14:textId="77777777" w:rsidR="003768A5" w:rsidRDefault="003768A5" w:rsidP="00F93C62">
      <w:pPr>
        <w:pStyle w:val="ConsPlusNormal"/>
        <w:ind w:firstLine="709"/>
        <w:jc w:val="both"/>
      </w:pPr>
    </w:p>
    <w:p w14:paraId="4BEDB9D1" w14:textId="2814DF99" w:rsidR="00067BC9" w:rsidRDefault="005E6B8E" w:rsidP="00725F4F">
      <w:pPr>
        <w:pStyle w:val="ConsPlusNormal"/>
        <w:ind w:firstLine="709"/>
        <w:jc w:val="both"/>
        <w:outlineLvl w:val="0"/>
      </w:pPr>
      <w:bookmarkStart w:id="7" w:name="P108"/>
      <w:bookmarkEnd w:id="7"/>
      <w:r w:rsidRPr="005E6B8E">
        <w:rPr>
          <w:b/>
        </w:rPr>
        <w:t>3.</w:t>
      </w:r>
      <w:r w:rsidR="003768A5" w:rsidRPr="005E6B8E">
        <w:rPr>
          <w:b/>
        </w:rPr>
        <w:t xml:space="preserve"> </w:t>
      </w:r>
      <w:r>
        <w:rPr>
          <w:b/>
        </w:rPr>
        <w:t>С</w:t>
      </w:r>
      <w:r w:rsidR="003768A5" w:rsidRPr="005E6B8E">
        <w:rPr>
          <w:b/>
        </w:rPr>
        <w:t>ообщ</w:t>
      </w:r>
      <w:r>
        <w:rPr>
          <w:b/>
        </w:rPr>
        <w:t>ение</w:t>
      </w:r>
      <w:r w:rsidR="003768A5" w:rsidRPr="005E6B8E">
        <w:rPr>
          <w:b/>
        </w:rPr>
        <w:t xml:space="preserve"> о проведении годового заседания общего собрания акционеров</w:t>
      </w:r>
      <w:r w:rsidR="00067BC9">
        <w:rPr>
          <w:b/>
        </w:rPr>
        <w:t xml:space="preserve">. </w:t>
      </w:r>
      <w:r w:rsidR="003768A5">
        <w:t xml:space="preserve"> </w:t>
      </w:r>
      <w:r w:rsidR="00067BC9" w:rsidRPr="00067BC9">
        <w:t>Сообщение о проведении заседания для принятия решений общим собранием акционеров (далее - сообщение о проведении заседания) должно быть сделано не позднее чем за 21 день до даты проведения, а если повестка дня содержит вопрос о реорганизации общества, - не позднее чем за 30 дней до даты проведения заседания или до даты окончания приема бюллетеней для голосования при проведении заочного голосования.</w:t>
      </w:r>
    </w:p>
    <w:p w14:paraId="763949C8" w14:textId="3D61AA28" w:rsidR="00067BC9" w:rsidRDefault="00067BC9" w:rsidP="00725F4F">
      <w:pPr>
        <w:pStyle w:val="ConsPlusNormal"/>
        <w:ind w:firstLine="709"/>
        <w:jc w:val="both"/>
        <w:outlineLvl w:val="0"/>
      </w:pPr>
      <w:bookmarkStart w:id="8" w:name="p0"/>
      <w:bookmarkEnd w:id="8"/>
      <w:r>
        <w:t>С</w:t>
      </w:r>
      <w:r w:rsidRPr="00067BC9">
        <w:t>ообщение о проведении заседания доводится до сведения лиц, имеющих право голоса при принятии решений общим собранием акционеров и зарегистрированных в реестре акционеров общества, путем направления регистрируемых почтовых отправлений или вручения под роспись, если иные способы направления (опубликования) такого сообщения не предусмотрены уставом общества.</w:t>
      </w:r>
    </w:p>
    <w:p w14:paraId="6724F330" w14:textId="35D1234F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>В сообщении о проведении заседания должны быть указаны:</w:t>
      </w:r>
    </w:p>
    <w:p w14:paraId="0F926A08" w14:textId="77777777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 xml:space="preserve">1) полное фирменное наименование общества и место его нахождения; </w:t>
      </w:r>
    </w:p>
    <w:p w14:paraId="7EFA7677" w14:textId="77777777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 xml:space="preserve">2) способ принятия решений общим собранием акционеров (заседание или заочное голосование), а если проводится заседание с дистанционным участием, также сведения о порядке доступа к дистанционному участию в заседании, в том числе способы достоверного установления лиц, принимающих дистанционное участие в заседании; </w:t>
      </w:r>
    </w:p>
    <w:p w14:paraId="699FB0F5" w14:textId="3794D3CD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 xml:space="preserve">3) дата и время проведения заседания, а если голосование на заседании совмещается с заочным голосованием, также дата окончания приема бюллетеней для голосования при проведении заочного голосования, </w:t>
      </w:r>
    </w:p>
    <w:p w14:paraId="2E549F6A" w14:textId="77777777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 xml:space="preserve">4) дата, на которую определяются (фиксируются) лица, имеющие право голоса при </w:t>
      </w:r>
      <w:r w:rsidRPr="00725F4F">
        <w:lastRenderedPageBreak/>
        <w:t xml:space="preserve">принятии решений общим собранием акционеров; </w:t>
      </w:r>
    </w:p>
    <w:p w14:paraId="7F747B5F" w14:textId="77777777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 xml:space="preserve">5) повестка дня; </w:t>
      </w:r>
    </w:p>
    <w:p w14:paraId="32ADF1DC" w14:textId="77777777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 xml:space="preserve">6) порядок ознакомления с информацией (материалами), подлежащей предоставлению при подготовке к проведению заседания или заочного голосования для принятия решений общим собранием акционеров; </w:t>
      </w:r>
    </w:p>
    <w:p w14:paraId="5624529F" w14:textId="77777777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>7) адрес (</w:t>
      </w:r>
      <w:hyperlink r:id="rId12" w:history="1">
        <w:r w:rsidRPr="00725F4F">
          <w:rPr>
            <w:rStyle w:val="ac"/>
          </w:rPr>
          <w:t>почтовый адрес</w:t>
        </w:r>
      </w:hyperlink>
      <w:r w:rsidRPr="00725F4F">
        <w:t xml:space="preserve"> и, если это предусмотрено уставом общества, адрес электронной почты), по которому могут направляться заполненные бюллетени для голосования, и способы подписания бюллетеней для голосования в соответствии со </w:t>
      </w:r>
      <w:hyperlink r:id="rId13" w:history="1">
        <w:r w:rsidRPr="00725F4F">
          <w:rPr>
            <w:rStyle w:val="ac"/>
          </w:rPr>
          <w:t>статьей 60</w:t>
        </w:r>
      </w:hyperlink>
      <w:r w:rsidRPr="00725F4F">
        <w:t xml:space="preserve"> настоящего Федерального закона, если голосование осуществляется бюллетенями для голосования, а также сведения о возможности заполнения и направления бюллетеней для голосования в электронной форме с использованием других электронных либо иных технических средств; </w:t>
      </w:r>
    </w:p>
    <w:p w14:paraId="4A828576" w14:textId="77777777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 xml:space="preserve">8) категории (типы) акций, владельцы которых имеют право голоса по всем или некоторым вопросам повестки дня; </w:t>
      </w:r>
    </w:p>
    <w:p w14:paraId="0C46E8B2" w14:textId="77777777" w:rsidR="00725F4F" w:rsidRPr="00725F4F" w:rsidRDefault="00725F4F" w:rsidP="00725F4F">
      <w:pPr>
        <w:pStyle w:val="ConsPlusNormal"/>
        <w:ind w:firstLine="709"/>
        <w:jc w:val="both"/>
        <w:outlineLvl w:val="0"/>
      </w:pPr>
      <w:r w:rsidRPr="00725F4F">
        <w:t xml:space="preserve">9) сведения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7C85E6B9" w14:textId="77777777" w:rsidR="00725F4F" w:rsidRPr="00067BC9" w:rsidRDefault="00725F4F" w:rsidP="00725F4F">
      <w:pPr>
        <w:pStyle w:val="ConsPlusNormal"/>
        <w:ind w:firstLine="709"/>
        <w:jc w:val="both"/>
        <w:outlineLvl w:val="0"/>
      </w:pPr>
    </w:p>
    <w:p w14:paraId="6CFF7A4E" w14:textId="72D93350" w:rsidR="003768A5" w:rsidRPr="00725F4F" w:rsidRDefault="00725F4F" w:rsidP="00D91829">
      <w:pPr>
        <w:pStyle w:val="ConsPlusNormal"/>
        <w:ind w:firstLine="709"/>
        <w:jc w:val="both"/>
        <w:outlineLvl w:val="1"/>
      </w:pPr>
      <w:r w:rsidRPr="00725F4F">
        <w:rPr>
          <w:b/>
        </w:rPr>
        <w:t>4.</w:t>
      </w:r>
      <w:r w:rsidR="003768A5" w:rsidRPr="00725F4F">
        <w:rPr>
          <w:b/>
        </w:rPr>
        <w:t xml:space="preserve"> Предоставление информации (материалов)</w:t>
      </w:r>
      <w:r>
        <w:rPr>
          <w:b/>
        </w:rPr>
        <w:t>.</w:t>
      </w:r>
    </w:p>
    <w:p w14:paraId="597E32E7" w14:textId="026B6E25" w:rsidR="00725F4F" w:rsidRPr="00725F4F" w:rsidRDefault="00725F4F" w:rsidP="00725F4F">
      <w:pPr>
        <w:pStyle w:val="ConsPlusNormal"/>
        <w:ind w:firstLine="709"/>
        <w:jc w:val="both"/>
      </w:pPr>
      <w:r w:rsidRPr="00725F4F">
        <w:t>При подготовке к проведению заседания или заочного голосования лицам, имеющим право голоса при принятии решений общим собранием акционеров, в зависимости от вопросов, включенных в повестку дня, должна предоставляться информация (материалы)</w:t>
      </w:r>
      <w:r>
        <w:t xml:space="preserve"> </w:t>
      </w:r>
      <w:r w:rsidRPr="00725F4F">
        <w:t>в течение 20 дней, а если повестка дня содержит вопрос о реорганизации общества, в течение 30 дней до даты проведения заседания:</w:t>
      </w:r>
    </w:p>
    <w:p w14:paraId="5973BBC2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1) годовой отчет общества; </w:t>
      </w:r>
    </w:p>
    <w:p w14:paraId="47F6D446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2) годовая бухгалтерская (финансовая) отчетность общества, аудиторское заключение о такой отчетности в случае наличия у общества обязанности по проведению ее аудита или в случае принятия непубличным обществом решения о проведении ее аудита; </w:t>
      </w:r>
    </w:p>
    <w:p w14:paraId="633A5041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3) заключение ревизионной комиссии общества по результатам проверки годового отчета, годовой бухгалтерской (финансовой) отчетности общества, если в соответствии с федеральными законами или уставом общества наличие ревизионной комиссии общества является обязательным; </w:t>
      </w:r>
    </w:p>
    <w:p w14:paraId="4F25AAC0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4) заключение внутреннего аудита, осуществляемого в публичном обществе; </w:t>
      </w:r>
    </w:p>
    <w:p w14:paraId="7314591F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5) сведения о кандидате (кандидатах) в совет директоров (наблюдательный совет) общества, ревизионную комиссию общества, если в соответствии с федеральными законами или уставом общества наличие совета директоров (наблюдательного совета) и (или) ревизионной комиссии общества является обязательным, о кандидате (кандидатах) в исполнительные органы общества, счетную комиссию общества; </w:t>
      </w:r>
    </w:p>
    <w:p w14:paraId="6EABDE23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6) проект изменений и дополнений, вносимых в устав общества, или проект устава общества в новой редакции; </w:t>
      </w:r>
    </w:p>
    <w:p w14:paraId="5275E9DD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7) проекты внутренних документов общества, подлежащих утверждению общим собранием акционеров; </w:t>
      </w:r>
    </w:p>
    <w:p w14:paraId="10999496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8) предусмотренная </w:t>
      </w:r>
      <w:hyperlink r:id="rId14" w:history="1">
        <w:r w:rsidRPr="00725F4F">
          <w:rPr>
            <w:rStyle w:val="ac"/>
          </w:rPr>
          <w:t>статьей 32.1</w:t>
        </w:r>
      </w:hyperlink>
      <w:r w:rsidRPr="00725F4F">
        <w:t xml:space="preserve"> настоящего Федерального закона информация об акционерных соглашениях, заключенных в течение одного года до даты проведения заседания или до даты окончания приема бюллетеней для голосования при проведении заочного голосования; </w:t>
      </w:r>
    </w:p>
    <w:p w14:paraId="6EE5F50A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9) заключение совета директоров (наблюдательного совета) общества о крупной сделке; </w:t>
      </w:r>
    </w:p>
    <w:p w14:paraId="06F66378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10) отчет о заключенных публичным обществом в отчетном году сделках, в совершении которых имеется заинтересованность; </w:t>
      </w:r>
    </w:p>
    <w:p w14:paraId="35529630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11) сведения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акционеров; </w:t>
      </w:r>
    </w:p>
    <w:p w14:paraId="3C586DA1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12) сведения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</w:t>
      </w:r>
      <w:r w:rsidRPr="00725F4F">
        <w:lastRenderedPageBreak/>
        <w:t xml:space="preserve">для голосования, выплата дивидендов, и о доле принадлежащих им акций в уставном капитале общества и в общем количестве голосующих акций общества; </w:t>
      </w:r>
    </w:p>
    <w:p w14:paraId="27728A30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13) проекты решений общего собрания акционеров; </w:t>
      </w:r>
    </w:p>
    <w:p w14:paraId="702C1EF6" w14:textId="77777777" w:rsidR="00725F4F" w:rsidRPr="00725F4F" w:rsidRDefault="00725F4F" w:rsidP="00725F4F">
      <w:pPr>
        <w:pStyle w:val="ConsPlusNormal"/>
        <w:ind w:firstLine="709"/>
        <w:jc w:val="both"/>
      </w:pPr>
      <w:r w:rsidRPr="00725F4F">
        <w:t xml:space="preserve">14) иная информация (материалы), предусмотренная уставом общества. </w:t>
      </w:r>
    </w:p>
    <w:p w14:paraId="394F0671" w14:textId="77777777" w:rsidR="003768A5" w:rsidRDefault="003768A5" w:rsidP="00725F4F">
      <w:pPr>
        <w:pStyle w:val="ConsPlusNormal"/>
        <w:ind w:firstLine="709"/>
        <w:jc w:val="both"/>
      </w:pPr>
    </w:p>
    <w:p w14:paraId="7C9AD223" w14:textId="77777777" w:rsidR="004F69F7" w:rsidRDefault="00E00512" w:rsidP="00E00512">
      <w:pPr>
        <w:pStyle w:val="ConsPlusNormal"/>
        <w:ind w:firstLine="709"/>
        <w:jc w:val="both"/>
        <w:outlineLvl w:val="0"/>
        <w:rPr>
          <w:b/>
        </w:rPr>
      </w:pPr>
      <w:bookmarkStart w:id="9" w:name="P168"/>
      <w:bookmarkEnd w:id="9"/>
      <w:r w:rsidRPr="00E00512">
        <w:rPr>
          <w:b/>
        </w:rPr>
        <w:t>5.</w:t>
      </w:r>
      <w:r>
        <w:rPr>
          <w:b/>
        </w:rPr>
        <w:t xml:space="preserve"> Б</w:t>
      </w:r>
      <w:r w:rsidR="003768A5" w:rsidRPr="00E00512">
        <w:rPr>
          <w:b/>
        </w:rPr>
        <w:t>юллетени для голосования</w:t>
      </w:r>
      <w:r>
        <w:rPr>
          <w:b/>
        </w:rPr>
        <w:t xml:space="preserve">. </w:t>
      </w:r>
    </w:p>
    <w:p w14:paraId="39840745" w14:textId="5CBA92B3" w:rsidR="00E00512" w:rsidRPr="00E00512" w:rsidRDefault="00E00512" w:rsidP="00E00512">
      <w:pPr>
        <w:pStyle w:val="ConsPlusNormal"/>
        <w:ind w:firstLine="709"/>
        <w:jc w:val="both"/>
        <w:outlineLvl w:val="0"/>
      </w:pPr>
      <w:r w:rsidRPr="00E00512">
        <w:t xml:space="preserve">Бюллетень для голосования должен быть направлен или вручен под роспись каждому лицу, зарегистрированному в реестре акционеров общества и </w:t>
      </w:r>
      <w:proofErr w:type="gramStart"/>
      <w:r w:rsidRPr="00E00512">
        <w:t>имеющему</w:t>
      </w:r>
      <w:proofErr w:type="gramEnd"/>
      <w:r w:rsidRPr="00E00512">
        <w:t xml:space="preserve"> право голоса при принятии решений общим собранием акционеров, не позднее чем за 20 дней до даты проведения заседания общего собрания акционеров, голосование на котором совмещается с заочным голосованием. Направление бюллетеней для голосования в этом случае осуществляется регистрируемым почтовым отправлением, если иной способ их направления, в том числе в виде электронного сообщения по адресу электронной почты, указанному в реестре акционеров общества, не предусмотрен уставом общества.</w:t>
      </w:r>
    </w:p>
    <w:p w14:paraId="160E37A2" w14:textId="7BA55F6A" w:rsidR="003768A5" w:rsidRDefault="003768A5" w:rsidP="00725F4F">
      <w:pPr>
        <w:pStyle w:val="ConsPlusNormal"/>
        <w:spacing w:before="240"/>
        <w:ind w:firstLine="709"/>
        <w:jc w:val="both"/>
      </w:pPr>
      <w:r>
        <w:t>К голосованию бюллетенями приравнивается получение регистратором общества сообщений о волеизъявлении лиц, которые имеют право голоса при принятии решений общим собранием акционеров, не зарегистрированы в реестре акционеров общества и дали лицам, осуществляющим учет их прав на акции, указания (инструкции) о голосовании</w:t>
      </w:r>
      <w:r w:rsidR="00E00512">
        <w:t>.</w:t>
      </w:r>
      <w:r>
        <w:t xml:space="preserve"> </w:t>
      </w:r>
    </w:p>
    <w:p w14:paraId="394A7F0E" w14:textId="77777777" w:rsidR="00E00512" w:rsidRDefault="00E00512" w:rsidP="00725F4F">
      <w:pPr>
        <w:pStyle w:val="ConsPlusNormal"/>
        <w:ind w:firstLine="709"/>
        <w:jc w:val="both"/>
        <w:outlineLvl w:val="1"/>
        <w:rPr>
          <w:b/>
          <w:sz w:val="28"/>
        </w:rPr>
      </w:pPr>
      <w:bookmarkStart w:id="10" w:name="P180"/>
      <w:bookmarkEnd w:id="10"/>
    </w:p>
    <w:p w14:paraId="76109787" w14:textId="77777777" w:rsidR="004F69F7" w:rsidRDefault="00E00512" w:rsidP="00E00512">
      <w:pPr>
        <w:pStyle w:val="ConsPlusNormal"/>
        <w:ind w:firstLine="709"/>
        <w:jc w:val="both"/>
        <w:outlineLvl w:val="1"/>
        <w:rPr>
          <w:b/>
        </w:rPr>
      </w:pPr>
      <w:r w:rsidRPr="00E00512">
        <w:rPr>
          <w:b/>
        </w:rPr>
        <w:t xml:space="preserve">6. </w:t>
      </w:r>
      <w:r w:rsidR="003768A5" w:rsidRPr="00E00512">
        <w:rPr>
          <w:b/>
        </w:rPr>
        <w:t>Подведение итогов голосования на заседании общего собрания акционеров</w:t>
      </w:r>
      <w:r w:rsidRPr="00E00512">
        <w:rPr>
          <w:b/>
        </w:rPr>
        <w:t>.</w:t>
      </w:r>
      <w:r>
        <w:rPr>
          <w:b/>
        </w:rPr>
        <w:t xml:space="preserve"> </w:t>
      </w:r>
    </w:p>
    <w:p w14:paraId="1CB6EAFE" w14:textId="5A7C853F" w:rsidR="003768A5" w:rsidRDefault="003768A5" w:rsidP="00E00512">
      <w:pPr>
        <w:pStyle w:val="ConsPlusNormal"/>
        <w:ind w:firstLine="709"/>
        <w:jc w:val="both"/>
        <w:outlineLvl w:val="1"/>
      </w:pPr>
      <w:r>
        <w:t>Не позднее трех рабочих дней после закрытия заседания составляется протокол об итогах голосования</w:t>
      </w:r>
      <w:r w:rsidR="00E00512">
        <w:t xml:space="preserve"> при принятии решений на заседании общего собрания акционеров</w:t>
      </w:r>
      <w:r>
        <w:t xml:space="preserve">. </w:t>
      </w:r>
      <w:r w:rsidR="00E00512">
        <w:t>Протокол</w:t>
      </w:r>
      <w:r>
        <w:t xml:space="preserve"> подписывают члены счетной комиссии или уполномоченные регистратором лица</w:t>
      </w:r>
      <w:r w:rsidR="00E00512">
        <w:t>.</w:t>
      </w:r>
      <w:r>
        <w:t xml:space="preserve"> </w:t>
      </w:r>
    </w:p>
    <w:p w14:paraId="0466EC82" w14:textId="53D9C3F9" w:rsidR="003768A5" w:rsidRDefault="00D91829" w:rsidP="00D91829">
      <w:pPr>
        <w:pStyle w:val="ConsPlusNormal"/>
        <w:ind w:firstLine="709"/>
        <w:jc w:val="both"/>
        <w:outlineLvl w:val="1"/>
      </w:pPr>
      <w:r>
        <w:t>Н</w:t>
      </w:r>
      <w:r w:rsidRPr="00D91829">
        <w:t>е позднее четырех рабочих дней после даты закрытия заседания</w:t>
      </w:r>
      <w:r>
        <w:t xml:space="preserve"> необходимо довести до акционеров </w:t>
      </w:r>
      <w:r w:rsidR="003768A5" w:rsidRPr="00D91829">
        <w:rPr>
          <w:bCs/>
        </w:rPr>
        <w:t>Отчет об итогах голосования на заседании общего собрания акционеров</w:t>
      </w:r>
      <w:r>
        <w:rPr>
          <w:bCs/>
        </w:rPr>
        <w:t>. Его</w:t>
      </w:r>
      <w:r w:rsidR="003768A5">
        <w:t xml:space="preserve"> составляют</w:t>
      </w:r>
      <w:r>
        <w:t xml:space="preserve"> и подписывают</w:t>
      </w:r>
      <w:r w:rsidR="003768A5">
        <w:t xml:space="preserve"> председательствующий на </w:t>
      </w:r>
      <w:r>
        <w:t>заседании и</w:t>
      </w:r>
      <w:r w:rsidR="003768A5">
        <w:t xml:space="preserve"> секретарь</w:t>
      </w:r>
      <w:r>
        <w:t>.</w:t>
      </w:r>
      <w:r w:rsidR="003768A5">
        <w:t xml:space="preserve"> </w:t>
      </w:r>
    </w:p>
    <w:p w14:paraId="7B8BDBDD" w14:textId="49E6C75B" w:rsidR="003768A5" w:rsidRDefault="00D91829" w:rsidP="00D91829">
      <w:pPr>
        <w:pStyle w:val="ConsPlusNormal"/>
        <w:ind w:firstLine="709"/>
        <w:jc w:val="both"/>
        <w:outlineLvl w:val="1"/>
      </w:pPr>
      <w:r w:rsidRPr="00D91829">
        <w:rPr>
          <w:bCs/>
        </w:rPr>
        <w:t>Отчет об итогах голосования</w:t>
      </w:r>
      <w:r>
        <w:rPr>
          <w:bCs/>
        </w:rPr>
        <w:t xml:space="preserve"> д</w:t>
      </w:r>
      <w:r w:rsidR="003768A5">
        <w:t>ов</w:t>
      </w:r>
      <w:r>
        <w:t>о</w:t>
      </w:r>
      <w:r w:rsidR="003768A5">
        <w:t>дит</w:t>
      </w:r>
      <w:r>
        <w:t>ся</w:t>
      </w:r>
      <w:r w:rsidR="003768A5">
        <w:t xml:space="preserve"> до акционеров</w:t>
      </w:r>
      <w:bookmarkStart w:id="11" w:name="_Hlk193291446"/>
      <w:r w:rsidR="003768A5">
        <w:t xml:space="preserve"> </w:t>
      </w:r>
      <w:bookmarkEnd w:id="11"/>
      <w:r w:rsidR="003768A5">
        <w:t>в том же порядке, что и сообщение о его проведении</w:t>
      </w:r>
      <w:r>
        <w:t>.</w:t>
      </w:r>
      <w:r w:rsidR="003768A5">
        <w:t xml:space="preserve"> </w:t>
      </w:r>
    </w:p>
    <w:p w14:paraId="5288E2E4" w14:textId="6C602DF1" w:rsidR="00E00512" w:rsidRDefault="003768A5" w:rsidP="00725F4F">
      <w:pPr>
        <w:pStyle w:val="ConsPlusNormal"/>
        <w:spacing w:before="240"/>
        <w:ind w:firstLine="709"/>
        <w:jc w:val="both"/>
      </w:pPr>
      <w:r>
        <w:t xml:space="preserve">Если на дату определения (фиксации) лиц, имеющих право голоса при принятии решений общим собранием акционеров, в реестре акционеров был зарегистрирован номинальный держатель, информация, содержащаяся в отчете об итогах голосования, передается регистратору </w:t>
      </w:r>
      <w:r w:rsidR="00D91829">
        <w:t xml:space="preserve">для </w:t>
      </w:r>
      <w:r>
        <w:t>направле</w:t>
      </w:r>
      <w:r w:rsidR="00D91829">
        <w:t>ния</w:t>
      </w:r>
      <w:r>
        <w:t xml:space="preserve"> ее номинальному держателю акций для предоставления лицам, осуществляющим права по ценным</w:t>
      </w:r>
      <w:r w:rsidR="00D91829">
        <w:t xml:space="preserve"> бумагам.</w:t>
      </w:r>
      <w:r>
        <w:t xml:space="preserve"> </w:t>
      </w:r>
    </w:p>
    <w:p w14:paraId="73FA8BB1" w14:textId="77777777" w:rsidR="00E00512" w:rsidRDefault="00E00512" w:rsidP="00725F4F">
      <w:pPr>
        <w:pStyle w:val="ConsPlusNormal"/>
        <w:spacing w:before="240"/>
        <w:ind w:firstLine="709"/>
        <w:jc w:val="both"/>
      </w:pPr>
    </w:p>
    <w:p w14:paraId="1004423D" w14:textId="77777777" w:rsidR="00E00512" w:rsidRDefault="00E00512" w:rsidP="00725F4F">
      <w:pPr>
        <w:pStyle w:val="ConsPlusNormal"/>
        <w:spacing w:before="240"/>
        <w:ind w:firstLine="709"/>
        <w:jc w:val="both"/>
      </w:pPr>
    </w:p>
    <w:sectPr w:rsidR="00E00512" w:rsidSect="00D91829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04A51"/>
    <w:multiLevelType w:val="multilevel"/>
    <w:tmpl w:val="97589900"/>
    <w:lvl w:ilvl="0">
      <w:start w:val="1"/>
      <w:numFmt w:val="bullet"/>
      <w:lvlText w:val=""/>
      <w:lvlJc w:val="left"/>
      <w:pPr>
        <w:tabs>
          <w:tab w:val="num" w:pos="683"/>
        </w:tabs>
        <w:ind w:left="683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155D6F"/>
    <w:multiLevelType w:val="multilevel"/>
    <w:tmpl w:val="54803E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2C6C5D"/>
    <w:multiLevelType w:val="hybridMultilevel"/>
    <w:tmpl w:val="7AD82C32"/>
    <w:lvl w:ilvl="0" w:tplc="FC3872EE">
      <w:start w:val="1"/>
      <w:numFmt w:val="decimal"/>
      <w:lvlText w:val="%1."/>
      <w:lvlJc w:val="left"/>
      <w:pPr>
        <w:ind w:left="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 w15:restartNumberingAfterBreak="0">
    <w:nsid w:val="16E03873"/>
    <w:multiLevelType w:val="multilevel"/>
    <w:tmpl w:val="BDF4BC5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1B5E10"/>
    <w:multiLevelType w:val="multilevel"/>
    <w:tmpl w:val="B2304D6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790B12"/>
    <w:multiLevelType w:val="multilevel"/>
    <w:tmpl w:val="DED64F3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4846B2"/>
    <w:multiLevelType w:val="hybridMultilevel"/>
    <w:tmpl w:val="394810C8"/>
    <w:lvl w:ilvl="0" w:tplc="9426ED7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A9229C"/>
    <w:multiLevelType w:val="multilevel"/>
    <w:tmpl w:val="09AC6332"/>
    <w:lvl w:ilvl="0">
      <w:start w:val="1"/>
      <w:numFmt w:val="decimal"/>
      <w:lvlText w:val="%1)"/>
      <w:lvlJc w:val="left"/>
      <w:pPr>
        <w:tabs>
          <w:tab w:val="num" w:pos="1010"/>
        </w:tabs>
        <w:ind w:left="101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271BC"/>
    <w:multiLevelType w:val="hybridMultilevel"/>
    <w:tmpl w:val="889AE6D4"/>
    <w:lvl w:ilvl="0" w:tplc="FDAAF3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967323"/>
    <w:multiLevelType w:val="multilevel"/>
    <w:tmpl w:val="C428D41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EE4EEF"/>
    <w:multiLevelType w:val="multilevel"/>
    <w:tmpl w:val="D51AD5C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CC118C"/>
    <w:multiLevelType w:val="multilevel"/>
    <w:tmpl w:val="D88288C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D71AFA"/>
    <w:multiLevelType w:val="multilevel"/>
    <w:tmpl w:val="589A95B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B47C94"/>
    <w:multiLevelType w:val="multilevel"/>
    <w:tmpl w:val="2A6A842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C85849"/>
    <w:multiLevelType w:val="multilevel"/>
    <w:tmpl w:val="48F8CD4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6B6536"/>
    <w:multiLevelType w:val="multilevel"/>
    <w:tmpl w:val="509A9BF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C850B2"/>
    <w:multiLevelType w:val="multilevel"/>
    <w:tmpl w:val="FB06BD6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C77500"/>
    <w:multiLevelType w:val="multilevel"/>
    <w:tmpl w:val="B322B96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ED73F1"/>
    <w:multiLevelType w:val="multilevel"/>
    <w:tmpl w:val="78A4C02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F615ED"/>
    <w:multiLevelType w:val="multilevel"/>
    <w:tmpl w:val="C20255D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2C3E0A"/>
    <w:multiLevelType w:val="multilevel"/>
    <w:tmpl w:val="6AD255D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BF6D24"/>
    <w:multiLevelType w:val="multilevel"/>
    <w:tmpl w:val="B3A8DD9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13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20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2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19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5"/>
    <w:lvlOverride w:ilvl="0">
      <w:startOverride w:val="1"/>
    </w:lvlOverride>
  </w:num>
  <w:num w:numId="20">
    <w:abstractNumId w:val="2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8A5"/>
    <w:rsid w:val="00067BC9"/>
    <w:rsid w:val="00137C13"/>
    <w:rsid w:val="00170922"/>
    <w:rsid w:val="003768A5"/>
    <w:rsid w:val="004F69F7"/>
    <w:rsid w:val="0050023A"/>
    <w:rsid w:val="0050085E"/>
    <w:rsid w:val="005E6B8E"/>
    <w:rsid w:val="00725F4F"/>
    <w:rsid w:val="00804622"/>
    <w:rsid w:val="009C27E2"/>
    <w:rsid w:val="00A7685B"/>
    <w:rsid w:val="00B84F6B"/>
    <w:rsid w:val="00B94C29"/>
    <w:rsid w:val="00B97E1B"/>
    <w:rsid w:val="00BE4AB9"/>
    <w:rsid w:val="00D15099"/>
    <w:rsid w:val="00D91829"/>
    <w:rsid w:val="00DF5851"/>
    <w:rsid w:val="00E00512"/>
    <w:rsid w:val="00E9031A"/>
    <w:rsid w:val="00EC4FB5"/>
    <w:rsid w:val="00F64D2C"/>
    <w:rsid w:val="00F65DE2"/>
    <w:rsid w:val="00F9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E1ED"/>
  <w15:chartTrackingRefBased/>
  <w15:docId w15:val="{D11B360B-BD08-4CFA-8DB9-271E3FD3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851"/>
  </w:style>
  <w:style w:type="paragraph" w:styleId="1">
    <w:name w:val="heading 1"/>
    <w:basedOn w:val="a"/>
    <w:next w:val="a"/>
    <w:link w:val="10"/>
    <w:uiPriority w:val="9"/>
    <w:qFormat/>
    <w:rsid w:val="003768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8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68A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68A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68A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68A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68A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68A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68A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8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68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68A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68A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68A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68A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68A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68A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68A5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68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76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68A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68A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68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68A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68A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68A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68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68A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768A5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3768A5"/>
    <w:pPr>
      <w:widowControl w:val="0"/>
      <w:autoSpaceDE w:val="0"/>
      <w:autoSpaceDN w:val="0"/>
      <w:spacing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3768A5"/>
    <w:pPr>
      <w:widowControl w:val="0"/>
      <w:autoSpaceDE w:val="0"/>
      <w:autoSpaceDN w:val="0"/>
      <w:spacing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768A5"/>
    <w:pPr>
      <w:widowControl w:val="0"/>
      <w:autoSpaceDE w:val="0"/>
      <w:autoSpaceDN w:val="0"/>
      <w:spacing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3768A5"/>
    <w:pPr>
      <w:widowControl w:val="0"/>
      <w:autoSpaceDE w:val="0"/>
      <w:autoSpaceDN w:val="0"/>
      <w:spacing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768A5"/>
    <w:pPr>
      <w:widowControl w:val="0"/>
      <w:autoSpaceDE w:val="0"/>
      <w:autoSpaceDN w:val="0"/>
      <w:spacing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3768A5"/>
    <w:pPr>
      <w:widowControl w:val="0"/>
      <w:autoSpaceDE w:val="0"/>
      <w:autoSpaceDN w:val="0"/>
      <w:spacing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768A5"/>
    <w:pPr>
      <w:widowControl w:val="0"/>
      <w:autoSpaceDE w:val="0"/>
      <w:autoSpaceDN w:val="0"/>
      <w:spacing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768A5"/>
    <w:pPr>
      <w:widowControl w:val="0"/>
      <w:autoSpaceDE w:val="0"/>
      <w:autoSpaceDN w:val="0"/>
      <w:spacing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c">
    <w:name w:val="Hyperlink"/>
    <w:basedOn w:val="a0"/>
    <w:uiPriority w:val="99"/>
    <w:unhideWhenUsed/>
    <w:rsid w:val="005E6B8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E6B8E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067B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83245&amp;dst=722" TargetMode="External"/><Relationship Id="rId13" Type="http://schemas.openxmlformats.org/officeDocument/2006/relationships/hyperlink" Target="https://login.consultant.ru/link/?req=doc&amp;base=LAW&amp;n=483245&amp;dst=971&amp;field=134&amp;date=19.03.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483245&amp;dst=101514" TargetMode="External"/><Relationship Id="rId12" Type="http://schemas.openxmlformats.org/officeDocument/2006/relationships/hyperlink" Target="https://login.consultant.ru/link/?req=doc&amp;base=LAW&amp;n=315800&amp;dst=100130&amp;field=134&amp;date=19.03.20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R&amp;n=483245&amp;dst=1014" TargetMode="External"/><Relationship Id="rId11" Type="http://schemas.openxmlformats.org/officeDocument/2006/relationships/hyperlink" Target="https://login.consultant.ru/link/?req=doc&amp;base=RZR&amp;n=483245&amp;dst=922" TargetMode="External"/><Relationship Id="rId5" Type="http://schemas.openxmlformats.org/officeDocument/2006/relationships/hyperlink" Target="https://login.consultant.ru/link/?req=doc&amp;base=RZR&amp;n=483245&amp;dst=101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ZR&amp;n=483245&amp;dst=3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483245&amp;dst=741" TargetMode="External"/><Relationship Id="rId14" Type="http://schemas.openxmlformats.org/officeDocument/2006/relationships/hyperlink" Target="https://login.consultant.ru/link/?req=doc&amp;base=LAW&amp;n=483245&amp;dst=101078&amp;field=134&amp;date=19.03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ЮРР ООО</dc:creator>
  <cp:keywords/>
  <dc:description/>
  <cp:lastModifiedBy>User</cp:lastModifiedBy>
  <cp:revision>4</cp:revision>
  <cp:lastPrinted>2025-03-19T09:39:00Z</cp:lastPrinted>
  <dcterms:created xsi:type="dcterms:W3CDTF">2025-03-19T12:51:00Z</dcterms:created>
  <dcterms:modified xsi:type="dcterms:W3CDTF">2025-03-21T12:35:00Z</dcterms:modified>
</cp:coreProperties>
</file>